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pPr>
      <w:r>
        <w:rPr>
          <w:rFonts w:ascii="Calibri" w:hAnsi="Calibri"/>
          <w:b/>
          <w:sz w:val="36"/>
        </w:rPr>
        <w:t>Coiled Sub-processors</w:t>
      </w:r>
    </w:p>
    <w:p>
      <w:r>
        <w:rPr>
          <w:rFonts w:ascii="Calibri" w:hAnsi="Calibri"/>
          <w:sz w:val="22"/>
        </w:rPr>
        <w:t>(Updated May 31, 2026)</w:t>
      </w:r>
    </w:p>
    <w:p>
      <w:r>
        <w:rPr>
          <w:rFonts w:ascii="Calibri" w:hAnsi="Calibri"/>
          <w:sz w:val="22"/>
        </w:rPr>
        <w:t>This page lists third-party sub-processors that Coiled may use to provide, support, secure, administer, or improve the Products and Services. Capitalized terms used but not defined here have the meanings given in the Coiled Subscription and Services Agreement or Coiled Data Processing Agreement, as applicable.</w:t>
      </w:r>
    </w:p>
    <w:p>
      <w:pPr>
        <w:pStyle w:val="Heading1"/>
      </w:pPr>
      <w:r>
        <w:t>Current Sub-processors</w:t>
      </w:r>
    </w:p>
    <w:tbl>
      <w:tblPr>
        <w:tblStyle w:val="TableGrid"/>
        <w:tblW w:type="dxa" w:w="9360"/>
        <w:tblLayout w:type="fixed"/>
        <w:tblLook w:firstColumn="1" w:firstRow="1" w:lastColumn="0" w:lastRow="0" w:noHBand="0" w:noVBand="1" w:val="04A0"/>
        <w:tblInd w:w="120" w:type="dxa"/>
      </w:tblPr>
      <w:tblGrid>
        <w:gridCol w:w="1539"/>
        <w:gridCol w:w="7821"/>
      </w:tblGrid>
      <w:tr>
        <w:tc>
          <w:tcPr>
            <w:tcW w:type="dxa" w:w="1539"/>
            <w:vAlign w:val="center"/>
            <w:tcMar>
              <w:top w:w="80" w:type="dxa"/>
              <w:start w:w="120" w:type="dxa"/>
              <w:bottom w:w="80" w:type="dxa"/>
              <w:end w:w="120" w:type="dxa"/>
            </w:tcMar>
          </w:tcPr>
          <w:p>
            <w:pPr>
              <w:spacing w:after="0"/>
              <w:jc w:val="center"/>
            </w:pPr>
            <w:r>
              <w:rPr>
                <w:rFonts w:ascii="Calibri" w:hAnsi="Calibri"/>
                <w:b/>
                <w:sz w:val="20"/>
              </w:rPr>
              <w:t>Sub-processor</w:t>
            </w:r>
          </w:p>
        </w:tc>
        <w:tc>
          <w:tcPr>
            <w:tcW w:type="dxa" w:w="7821"/>
            <w:vAlign w:val="center"/>
            <w:tcMar>
              <w:top w:w="80" w:type="dxa"/>
              <w:start w:w="120" w:type="dxa"/>
              <w:bottom w:w="80" w:type="dxa"/>
              <w:end w:w="120" w:type="dxa"/>
            </w:tcMar>
          </w:tcPr>
          <w:p>
            <w:pPr>
              <w:spacing w:after="0"/>
              <w:jc w:val="center"/>
            </w:pPr>
            <w:r>
              <w:rPr>
                <w:rFonts w:ascii="Calibri" w:hAnsi="Calibri"/>
                <w:b/>
                <w:sz w:val="20"/>
              </w:rPr>
              <w:t>Purpose</w:t>
            </w:r>
          </w:p>
        </w:tc>
      </w:tr>
      <w:tr>
        <w:tc>
          <w:tcPr>
            <w:tcW w:type="dxa" w:w="1539"/>
            <w:vAlign w:val="center"/>
            <w:tcMar>
              <w:top w:w="80" w:type="dxa"/>
              <w:start w:w="120" w:type="dxa"/>
              <w:bottom w:w="80" w:type="dxa"/>
              <w:end w:w="120" w:type="dxa"/>
            </w:tcMar>
          </w:tcPr>
          <w:p>
            <w:pPr>
              <w:spacing w:after="0"/>
            </w:pPr>
            <w:r>
              <w:rPr>
                <w:rFonts w:ascii="Calibri" w:hAnsi="Calibri"/>
                <w:sz w:val="20"/>
              </w:rPr>
              <w:t>Amazon Web Services, Inc.</w:t>
            </w:r>
          </w:p>
        </w:tc>
        <w:tc>
          <w:tcPr>
            <w:tcW w:type="dxa" w:w="7821"/>
            <w:vAlign w:val="center"/>
            <w:tcMar>
              <w:top w:w="80" w:type="dxa"/>
              <w:start w:w="120" w:type="dxa"/>
              <w:bottom w:w="80" w:type="dxa"/>
              <w:end w:w="120" w:type="dxa"/>
            </w:tcMar>
          </w:tcPr>
          <w:p>
            <w:pPr>
              <w:spacing w:after="0"/>
            </w:pPr>
            <w:r>
              <w:rPr>
                <w:rFonts w:ascii="Calibri" w:hAnsi="Calibri"/>
                <w:sz w:val="20"/>
              </w:rPr>
              <w:t>Cloud hosting, database, storage, email delivery, logging, networking, and infrastructure services for Coiled-operated systems.</w:t>
            </w:r>
          </w:p>
        </w:tc>
      </w:tr>
      <w:tr>
        <w:tc>
          <w:tcPr>
            <w:tcW w:type="dxa" w:w="1539"/>
            <w:vAlign w:val="center"/>
            <w:tcMar>
              <w:top w:w="80" w:type="dxa"/>
              <w:start w:w="120" w:type="dxa"/>
              <w:bottom w:w="80" w:type="dxa"/>
              <w:end w:w="120" w:type="dxa"/>
            </w:tcMar>
          </w:tcPr>
          <w:p>
            <w:pPr>
              <w:spacing w:after="0"/>
            </w:pPr>
            <w:r>
              <w:rPr>
                <w:rFonts w:ascii="Calibri" w:hAnsi="Calibri"/>
                <w:sz w:val="20"/>
              </w:rPr>
              <w:t>Stripe, Inc.</w:t>
            </w:r>
          </w:p>
        </w:tc>
        <w:tc>
          <w:tcPr>
            <w:tcW w:type="dxa" w:w="7821"/>
            <w:vAlign w:val="center"/>
            <w:tcMar>
              <w:top w:w="80" w:type="dxa"/>
              <w:start w:w="120" w:type="dxa"/>
              <w:bottom w:w="80" w:type="dxa"/>
              <w:end w:w="120" w:type="dxa"/>
            </w:tcMar>
          </w:tcPr>
          <w:p>
            <w:pPr>
              <w:spacing w:after="0"/>
            </w:pPr>
            <w:r>
              <w:rPr>
                <w:rFonts w:ascii="Calibri" w:hAnsi="Calibri"/>
                <w:sz w:val="20"/>
              </w:rPr>
              <w:t>Payment processing, billing, invoicing, tax, and customer payment portal services.</w:t>
            </w:r>
          </w:p>
        </w:tc>
      </w:tr>
      <w:tr>
        <w:tc>
          <w:tcPr>
            <w:tcW w:type="dxa" w:w="1539"/>
            <w:vAlign w:val="center"/>
            <w:tcMar>
              <w:top w:w="80" w:type="dxa"/>
              <w:start w:w="120" w:type="dxa"/>
              <w:bottom w:w="80" w:type="dxa"/>
              <w:end w:w="120" w:type="dxa"/>
            </w:tcMar>
          </w:tcPr>
          <w:p>
            <w:pPr>
              <w:spacing w:after="0"/>
            </w:pPr>
            <w:r>
              <w:rPr>
                <w:rFonts w:ascii="Calibri" w:hAnsi="Calibri"/>
                <w:sz w:val="20"/>
              </w:rPr>
              <w:t>WorkOS, Inc.</w:t>
            </w:r>
          </w:p>
        </w:tc>
        <w:tc>
          <w:tcPr>
            <w:tcW w:type="dxa" w:w="7821"/>
            <w:vAlign w:val="center"/>
            <w:tcMar>
              <w:top w:w="80" w:type="dxa"/>
              <w:start w:w="120" w:type="dxa"/>
              <w:bottom w:w="80" w:type="dxa"/>
              <w:end w:w="120" w:type="dxa"/>
            </w:tcMar>
          </w:tcPr>
          <w:p>
            <w:pPr>
              <w:spacing w:after="0"/>
            </w:pPr>
            <w:r>
              <w:rPr>
                <w:rFonts w:ascii="Calibri" w:hAnsi="Calibri"/>
                <w:sz w:val="20"/>
              </w:rPr>
              <w:t>Authentication, single sign-on, directory synchronization, and user identity services.</w:t>
            </w:r>
          </w:p>
        </w:tc>
      </w:tr>
      <w:tr>
        <w:tc>
          <w:tcPr>
            <w:tcW w:type="dxa" w:w="1539"/>
            <w:vAlign w:val="center"/>
            <w:tcMar>
              <w:top w:w="80" w:type="dxa"/>
              <w:start w:w="120" w:type="dxa"/>
              <w:bottom w:w="80" w:type="dxa"/>
              <w:end w:w="120" w:type="dxa"/>
            </w:tcMar>
          </w:tcPr>
          <w:p>
            <w:pPr>
              <w:spacing w:after="0"/>
            </w:pPr>
            <w:r>
              <w:rPr>
                <w:rFonts w:ascii="Calibri" w:hAnsi="Calibri"/>
                <w:sz w:val="20"/>
              </w:rPr>
              <w:t>Datadog, Inc.</w:t>
            </w:r>
          </w:p>
        </w:tc>
        <w:tc>
          <w:tcPr>
            <w:tcW w:type="dxa" w:w="7821"/>
            <w:vAlign w:val="center"/>
            <w:tcMar>
              <w:top w:w="80" w:type="dxa"/>
              <w:start w:w="120" w:type="dxa"/>
              <w:bottom w:w="80" w:type="dxa"/>
              <w:end w:w="120" w:type="dxa"/>
            </w:tcMar>
          </w:tcPr>
          <w:p>
            <w:pPr>
              <w:spacing w:after="0"/>
            </w:pPr>
            <w:r>
              <w:rPr>
                <w:rFonts w:ascii="Calibri" w:hAnsi="Calibri"/>
                <w:sz w:val="20"/>
              </w:rPr>
              <w:t>Application monitoring, tracing, logging, diagnostics, and product reliability telemetry.</w:t>
            </w:r>
          </w:p>
        </w:tc>
      </w:tr>
      <w:tr>
        <w:tc>
          <w:tcPr>
            <w:tcW w:type="dxa" w:w="1539"/>
            <w:vAlign w:val="center"/>
            <w:tcMar>
              <w:top w:w="80" w:type="dxa"/>
              <w:start w:w="120" w:type="dxa"/>
              <w:bottom w:w="80" w:type="dxa"/>
              <w:end w:w="120" w:type="dxa"/>
            </w:tcMar>
          </w:tcPr>
          <w:p>
            <w:pPr>
              <w:spacing w:after="0"/>
            </w:pPr>
            <w:r>
              <w:rPr>
                <w:rFonts w:ascii="Calibri" w:hAnsi="Calibri"/>
                <w:sz w:val="20"/>
              </w:rPr>
              <w:t>HubSpot, Inc.</w:t>
            </w:r>
          </w:p>
        </w:tc>
        <w:tc>
          <w:tcPr>
            <w:tcW w:type="dxa" w:w="7821"/>
            <w:vAlign w:val="center"/>
            <w:tcMar>
              <w:top w:w="80" w:type="dxa"/>
              <w:start w:w="120" w:type="dxa"/>
              <w:bottom w:w="80" w:type="dxa"/>
              <w:end w:w="120" w:type="dxa"/>
            </w:tcMar>
          </w:tcPr>
          <w:p>
            <w:pPr>
              <w:spacing w:after="0"/>
            </w:pPr>
            <w:r>
              <w:rPr>
                <w:rFonts w:ascii="Calibri" w:hAnsi="Calibri"/>
                <w:sz w:val="20"/>
              </w:rPr>
              <w:t>Customer relationship management, support, marketing operations, and customer communications.</w:t>
            </w:r>
          </w:p>
        </w:tc>
      </w:tr>
      <w:tr>
        <w:tc>
          <w:tcPr>
            <w:tcW w:type="dxa" w:w="1539"/>
            <w:vAlign w:val="center"/>
            <w:tcMar>
              <w:top w:w="80" w:type="dxa"/>
              <w:start w:w="120" w:type="dxa"/>
              <w:bottom w:w="80" w:type="dxa"/>
              <w:end w:w="120" w:type="dxa"/>
            </w:tcMar>
          </w:tcPr>
          <w:p>
            <w:pPr>
              <w:spacing w:after="0"/>
            </w:pPr>
            <w:r>
              <w:rPr>
                <w:rFonts w:ascii="Calibri" w:hAnsi="Calibri"/>
                <w:sz w:val="20"/>
              </w:rPr>
              <w:t>Slack Technologies, LLC</w:t>
            </w:r>
          </w:p>
        </w:tc>
        <w:tc>
          <w:tcPr>
            <w:tcW w:type="dxa" w:w="7821"/>
            <w:vAlign w:val="center"/>
            <w:tcMar>
              <w:top w:w="80" w:type="dxa"/>
              <w:start w:w="120" w:type="dxa"/>
              <w:bottom w:w="80" w:type="dxa"/>
              <w:end w:w="120" w:type="dxa"/>
            </w:tcMar>
          </w:tcPr>
          <w:p>
            <w:pPr>
              <w:spacing w:after="0"/>
            </w:pPr>
            <w:r>
              <w:rPr>
                <w:rFonts w:ascii="Calibri" w:hAnsi="Calibri"/>
                <w:sz w:val="20"/>
              </w:rPr>
              <w:t>Internal operational notifications and customer support communications.</w:t>
            </w:r>
          </w:p>
        </w:tc>
      </w:tr>
    </w:tbl>
    <w:p/>
    <w:p>
      <w:pPr>
        <w:pStyle w:val="Heading1"/>
      </w:pPr>
      <w:r>
        <w:t>Customer-Configured Infrastructure</w:t>
      </w:r>
    </w:p>
    <w:p>
      <w:r>
        <w:rPr>
          <w:rFonts w:ascii="Calibri" w:hAnsi="Calibri"/>
          <w:sz w:val="22"/>
        </w:rPr>
        <w:t>Customers may configure Coiled to use infrastructure providers selected and controlled by Customer, including Amazon Web Services, Google Cloud Platform, and Microsoft Azure. These providers are not Coiled sub-processors when they are used as Customer-controlled infrastructure, although Coiled may interact with them as necessary to provide the Products and Services.</w:t>
      </w:r>
    </w:p>
    <w:p>
      <w:pPr>
        <w:pStyle w:val="Heading1"/>
      </w:pPr>
      <w:r>
        <w:t>Changes</w:t>
      </w:r>
    </w:p>
    <w:p>
      <w:r>
        <w:rPr>
          <w:rFonts w:ascii="Calibri" w:hAnsi="Calibri"/>
          <w:sz w:val="22"/>
        </w:rPr>
        <w:t xml:space="preserve">Coiled may update this page from time to time as its sub-processors change. Customers that need notice of sub-processor changes may request notice by emailing </w:t>
      </w:r>
      <w:hyperlink r:id="rId9">
        <w:r>
          <w:rPr>
            <w:color w:val="0563C1"/>
            <w:u w:val="single"/>
          </w:rPr>
          <w:t>hello@coiled.io</w:t>
        </w:r>
      </w:hyperlink>
      <w:r>
        <w:rPr>
          <w:rFonts w:ascii="Calibri" w:hAnsi="Calibri"/>
          <w:sz w:val="22"/>
        </w:rPr>
        <w:t>.</w:t>
      </w:r>
    </w:p>
    <w:sectPr w:rsidR="00FC693F" w:rsidRPr="0006063C" w:rsidSect="000346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line="264" w:lineRule="auto"/>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line="264" w:lineRule="auto"/>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line="264" w:lineRule="auto"/>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mailto:hello@coile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Coiled Sub-processors</dc:title>
  <dc:subject>Legal</dc:subject>
  <dc:creator>Coiled Computing, Inc.</dc:creator>
  <cp:keywords/>
  <dc:description/>
  <cp:lastModifiedBy>Coiled Computing, Inc.</cp:lastModifiedBy>
  <cp:revision>1</cp:revision>
  <dcterms:created xsi:type="dcterms:W3CDTF">2026-06-04T17:47:35Z</dcterms:created>
  <dcterms:modified xsi:type="dcterms:W3CDTF">2026-06-04T17:47:35Z</dcterms:modified>
  <cp:category>Legal</cp:category>
</cp:coreProperties>
</file>